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Interrogazione in Commissione</w:t>
      </w: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Al Ministro dell’Istruzione, dell’università e della ricerca.</w:t>
      </w: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Per sapere – premesso che:</w:t>
      </w: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in base a quanto previsto dall'articolo 3 del decreto ministeriale del 10 settembre 2010, n.249, in termini di regolamento concernente la definizione della disciplina dei requisiti e delle modalità della formazione iniziale degli insegnanti della scuola dell'infanzia, della scuola primaria e della scuola secondaria di primo e secondo grado, i percorsi formativi preordinati all'insegnamento di strumento musicale sono attivati dalle università e dagli istituti di alta formazione artistica, musicale e coreutica di cui alla legge del 21 dicembre 1999, n. 508, e si articolano nel corso di diploma accademico di II livello e nel successivo anno di tirocinio formativo attivo (TFA);</w:t>
      </w: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secondo il Coordinamento Nazionale TFA, gli abilitati in "Strumento musicale nella scuola secondaria di I grado" (classe di concorso A056, ex A077) "occupano, tra i beffati dal Governo, un posto speciale" in quanto esclusi dall'applicazione del cosiddetto "Bonus TFA", istituito con decreto ministeriale del 22 maggio del 2014, n.353, che rappresenta una sorta di "risarcimento" per i docenti abilitati TFA, quantificato in 42 punti per gli abilitati ai sensi dell'articolo 15, comma 1, del decreto ministeriale 10 settembre 2010, n.249 (ossia per tutti gli abilitati TFA che hanno seguito il percorso transitorio avviato dalle Università), e in 66 punti per gli abilitati ai sensi dell'articolo 3, comma 3, del medesimo decreto;</w:t>
      </w: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tale trattamento differenziato è facilmente deducibile finanche dall'allegato del decreto del Direttore Generale del 6 luglio 2015, n.680, "Modello A3", che, alla pagina 3, relativa alla dichiarazione di possesso di abilitazione, specifica chiaramente: “Graduatorie diverse da strumento musicale”;</w:t>
      </w:r>
    </w:p>
    <w:p w:rsidR="00D0104D" w:rsidRPr="00023C37" w:rsidRDefault="00ED35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pPr>
      <w:r w:rsidRPr="00023C37">
        <w:rPr>
          <w:rFonts w:ascii="TimesNewRomanPSMT" w:eastAsia="TimesNewRomanPSMT" w:hAnsi="TimesNewRomanPSMT" w:cs="TimesNewRomanPSMT"/>
          <w:color w:val="000000"/>
          <w:kern w:val="0"/>
        </w:rPr>
        <w:t>oltracciò, come riportato nella tabella A del decreto del Presidente della Repubblica del 14 febbraio 2016, n.19, "</w:t>
      </w:r>
      <w:r w:rsidRPr="00023C37">
        <w:t>fino a quando non entreranno a regime gli specifici percorsi abilitanti, e comunque non oltre l’anno accademico 2018/2019, ha titolo di accesso il docente abilitato nella ex classe di concorso A031 o A032 o A077 in possesso del diploma di conservatorio nello specifico strumento purché congiunto a diploma di istruzione secondaria di secondo grado";</w:t>
      </w:r>
    </w:p>
    <w:p w:rsidR="00ED359E" w:rsidRPr="00023C37" w:rsidRDefault="00ED35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pPr>
      <w:proofErr w:type="spellStart"/>
      <w:r w:rsidRPr="00023C37">
        <w:rPr>
          <w:i/>
        </w:rPr>
        <w:t>icto</w:t>
      </w:r>
      <w:proofErr w:type="spellEnd"/>
      <w:r w:rsidRPr="00023C37">
        <w:rPr>
          <w:i/>
        </w:rPr>
        <w:t xml:space="preserve"> </w:t>
      </w:r>
      <w:proofErr w:type="spellStart"/>
      <w:r w:rsidRPr="00023C37">
        <w:rPr>
          <w:i/>
        </w:rPr>
        <w:t>oculi</w:t>
      </w:r>
      <w:proofErr w:type="spellEnd"/>
      <w:r w:rsidRPr="00023C37">
        <w:t>, appare chiaro come tale disciplina di accesso alle nuove classi di concorso</w:t>
      </w:r>
      <w:r w:rsidR="005B3E5B" w:rsidRPr="00023C37">
        <w:t xml:space="preserve"> sia solo transitoria, presupponendo </w:t>
      </w:r>
      <w:r w:rsidRPr="00023C37">
        <w:t>che gli abilitati che entro tale data non abbiano ancora avuto la possibilità di ottenere il ruolo su una delle classi di concorso, vedranno ridursi le proprie possibilità lavorative</w:t>
      </w:r>
      <w:r w:rsidR="005B3E5B" w:rsidRPr="00023C37">
        <w:t>, come se</w:t>
      </w:r>
      <w:r w:rsidRPr="00023C37">
        <w:t xml:space="preserve"> un titolo </w:t>
      </w:r>
      <w:r w:rsidR="005B3E5B" w:rsidRPr="00023C37">
        <w:t xml:space="preserve">conseguito </w:t>
      </w:r>
      <w:r w:rsidRPr="00023C37">
        <w:t xml:space="preserve">possa avere </w:t>
      </w:r>
      <w:r w:rsidR="005B3E5B" w:rsidRPr="00023C37">
        <w:t>un valore soltanto temporaneo</w:t>
      </w:r>
      <w:r w:rsidRPr="00023C37">
        <w:t xml:space="preserve">, oltre il quale non è più </w:t>
      </w:r>
      <w:r w:rsidR="00C94559" w:rsidRPr="00023C37">
        <w:t>usufruibile</w:t>
      </w:r>
      <w:r w:rsidR="005B3E5B" w:rsidRPr="00023C37">
        <w:t xml:space="preserve"> per quell'insegnamento;</w:t>
      </w:r>
    </w:p>
    <w:p w:rsidR="00E32AF9" w:rsidRDefault="00E32AF9" w:rsidP="00E32A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r w:rsidRPr="00023C37">
        <w:rPr>
          <w:rFonts w:ascii="TimesNewRomanPSMT" w:eastAsia="TimesNewRomanPSMT" w:hAnsi="TimesNewRomanPSMT" w:cs="TimesNewRomanPSMT"/>
          <w:color w:val="000000"/>
          <w:kern w:val="0"/>
        </w:rPr>
        <w:t xml:space="preserve">si ricorda, infine, che a gravare la situazione di indifferenza </w:t>
      </w:r>
      <w:r w:rsidR="003A2C64" w:rsidRPr="00023C37">
        <w:rPr>
          <w:rFonts w:ascii="TimesNewRomanPSMT" w:eastAsia="TimesNewRomanPSMT" w:hAnsi="TimesNewRomanPSMT" w:cs="TimesNewRomanPSMT"/>
          <w:color w:val="000000"/>
          <w:kern w:val="0"/>
        </w:rPr>
        <w:t>in cui sembra versare</w:t>
      </w:r>
      <w:r w:rsidRPr="00023C37">
        <w:rPr>
          <w:rFonts w:ascii="TimesNewRomanPSMT" w:eastAsia="TimesNewRomanPSMT" w:hAnsi="TimesNewRomanPSMT" w:cs="TimesNewRomanPSMT"/>
          <w:color w:val="000000"/>
          <w:kern w:val="0"/>
        </w:rPr>
        <w:t xml:space="preserve"> tale catego</w:t>
      </w:r>
      <w:r w:rsidR="00023C37" w:rsidRPr="00023C37">
        <w:rPr>
          <w:rFonts w:ascii="TimesNewRomanPSMT" w:eastAsia="TimesNewRomanPSMT" w:hAnsi="TimesNewRomanPSMT" w:cs="TimesNewRomanPSMT"/>
          <w:color w:val="000000"/>
          <w:kern w:val="0"/>
        </w:rPr>
        <w:t>ria di docenti, si aggiunge il d</w:t>
      </w:r>
      <w:r w:rsidRPr="00023C37">
        <w:rPr>
          <w:rFonts w:ascii="TimesNewRomanPSMT" w:eastAsia="TimesNewRomanPSMT" w:hAnsi="TimesNewRomanPSMT" w:cs="TimesNewRomanPSMT"/>
          <w:color w:val="000000"/>
          <w:kern w:val="0"/>
        </w:rPr>
        <w:t xml:space="preserve">ecreto del MIUR del 6 maggio 2016, n.414, che  </w:t>
      </w:r>
      <w:r w:rsidR="003A2C64" w:rsidRPr="00023C37">
        <w:rPr>
          <w:rFonts w:ascii="TimesNewRomanPSMT" w:eastAsia="TimesNewRomanPSMT" w:hAnsi="TimesNewRomanPSMT" w:cs="TimesNewRomanPSMT"/>
          <w:color w:val="000000"/>
          <w:kern w:val="0"/>
        </w:rPr>
        <w:t>"</w:t>
      </w:r>
      <w:r w:rsidRPr="00023C37">
        <w:rPr>
          <w:rFonts w:ascii="TimesNewRomanPSMT" w:eastAsia="TimesNewRomanPSMT" w:hAnsi="TimesNewRomanPSMT" w:cs="TimesNewRomanPSMT"/>
          <w:color w:val="000000"/>
          <w:kern w:val="0"/>
        </w:rPr>
        <w:t>individua la confluenza nelle nuove classi di con</w:t>
      </w:r>
      <w:r w:rsidR="003A2C64" w:rsidRPr="00023C37">
        <w:rPr>
          <w:rFonts w:ascii="TimesNewRomanPSMT" w:eastAsia="TimesNewRomanPSMT" w:hAnsi="TimesNewRomanPSMT" w:cs="TimesNewRomanPSMT"/>
          <w:color w:val="000000"/>
          <w:kern w:val="0"/>
        </w:rPr>
        <w:t xml:space="preserve">corso, previste dal decreto del </w:t>
      </w:r>
      <w:r w:rsidRPr="00023C37">
        <w:rPr>
          <w:rFonts w:ascii="TimesNewRomanPSMT" w:eastAsia="TimesNewRomanPSMT" w:hAnsi="TimesNewRomanPSMT" w:cs="TimesNewRomanPSMT"/>
          <w:color w:val="000000"/>
          <w:kern w:val="0"/>
        </w:rPr>
        <w:t xml:space="preserve">Presidente della Repubblica 14-2-2016, n.19, delle precedenti </w:t>
      </w:r>
      <w:r w:rsidR="003A2C64" w:rsidRPr="00023C37">
        <w:rPr>
          <w:rFonts w:ascii="TimesNewRomanPSMT" w:eastAsia="TimesNewRomanPSMT" w:hAnsi="TimesNewRomanPSMT" w:cs="TimesNewRomanPSMT"/>
          <w:color w:val="000000"/>
          <w:kern w:val="0"/>
        </w:rPr>
        <w:t>in relazione ad ogni disciplina" e, nel caso della sezione musicale (Allegato A), ha previsto una confluenza da “Musica nella scuola secondaria di II grado” a “Storia della Musica” mentre nulla dice sullo Strumento musicale;</w:t>
      </w: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shd w:val="clear" w:color="auto" w:fill="FFFF00"/>
        </w:rPr>
      </w:pPr>
      <w:r>
        <w:rPr>
          <w:rFonts w:ascii="TimesNewRomanPSMT" w:eastAsia="TimesNewRomanPSMT" w:hAnsi="TimesNewRomanPSMT" w:cs="TimesNewRomanPSMT"/>
          <w:color w:val="000000"/>
          <w:kern w:val="0"/>
        </w:rPr>
        <w:t>appare comprensibile che, nel far fronte ad una situazione del genere, i docenti di strumento musicale si sentano discriminati e giudicati secondo criteri non equi rispetto ai propri colleghi di altre discipline -:</w:t>
      </w: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shd w:val="clear" w:color="auto" w:fill="FFFF00"/>
        </w:rPr>
      </w:pP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 xml:space="preserve">se non ritenga doveroso ed appropriato un intervento volto a chiarificare e modificare la posizione in cui riversano, nella fattispecie, i docenti di strumento musicale, riconoscendo anche agli abilitati </w:t>
      </w:r>
      <w:r>
        <w:rPr>
          <w:rFonts w:ascii="TimesNewRomanPSMT" w:eastAsia="TimesNewRomanPSMT" w:hAnsi="TimesNewRomanPSMT" w:cs="TimesNewRomanPSMT"/>
          <w:color w:val="000000"/>
          <w:kern w:val="0"/>
        </w:rPr>
        <w:lastRenderedPageBreak/>
        <w:t>di Strumento musicale il bonus TFA a che vengano gettate le basi per una giusta ed equa selezione di tutto il personale docente.</w:t>
      </w: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rebuchetMS" w:eastAsia="TrebuchetMS" w:hAnsi="TrebuchetMS" w:cs="TrebuchetMS"/>
          <w:color w:val="000000"/>
          <w:kern w:val="0"/>
          <w:sz w:val="22"/>
          <w:szCs w:val="22"/>
        </w:rPr>
      </w:pPr>
      <w:r>
        <w:rPr>
          <w:rFonts w:ascii="TimesNewRomanPSMT" w:eastAsia="TimesNewRomanPSMT" w:hAnsi="TimesNewRomanPSMT" w:cs="TimesNewRomanPSMT"/>
          <w:color w:val="000000"/>
          <w:kern w:val="0"/>
        </w:rPr>
        <w:t>Alcune fonti:</w:t>
      </w: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rebuchetMS" w:eastAsia="TrebuchetMS" w:hAnsi="TrebuchetMS" w:cs="TrebuchetMS"/>
          <w:color w:val="000000"/>
          <w:kern w:val="0"/>
          <w:sz w:val="22"/>
          <w:szCs w:val="22"/>
        </w:rPr>
      </w:pPr>
      <w:r>
        <w:rPr>
          <w:rFonts w:ascii="TrebuchetMS" w:eastAsia="TrebuchetMS" w:hAnsi="TrebuchetMS" w:cs="TrebuchetMS"/>
          <w:color w:val="000000"/>
          <w:kern w:val="0"/>
          <w:sz w:val="22"/>
          <w:szCs w:val="22"/>
        </w:rPr>
        <w:t xml:space="preserve">http://www.orizzontescuola.it/news/concorso-cattedra-coordinamento-nazionale-tfa-caso-degli-abilitati-strumento-musicale-formazion    </w:t>
      </w: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rebuchetMS" w:eastAsia="TrebuchetMS" w:hAnsi="TrebuchetMS" w:cs="TrebuchetMS"/>
          <w:color w:val="000000"/>
          <w:kern w:val="0"/>
          <w:sz w:val="22"/>
          <w:szCs w:val="22"/>
        </w:rPr>
      </w:pP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rebuchetMS" w:eastAsia="TrebuchetMS" w:hAnsi="TrebuchetMS" w:cs="TrebuchetMS"/>
          <w:color w:val="000000"/>
          <w:kern w:val="0"/>
          <w:sz w:val="22"/>
          <w:szCs w:val="22"/>
        </w:rPr>
      </w:pPr>
      <w:r>
        <w:rPr>
          <w:rFonts w:ascii="TrebuchetMS" w:eastAsia="TrebuchetMS" w:hAnsi="TrebuchetMS" w:cs="TrebuchetMS"/>
          <w:color w:val="000000"/>
          <w:kern w:val="0"/>
          <w:sz w:val="22"/>
          <w:szCs w:val="22"/>
        </w:rPr>
        <w:t>http://www.orizzontescuola.it/news/concorso-2016-dove-sono-finiti-posti-strumento-musicale-lettera</w:t>
      </w: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rebuchetMS" w:eastAsia="TrebuchetMS" w:hAnsi="TrebuchetMS" w:cs="TrebuchetMS"/>
          <w:color w:val="000000"/>
          <w:kern w:val="0"/>
          <w:sz w:val="22"/>
          <w:szCs w:val="22"/>
        </w:rPr>
      </w:pP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r>
        <w:rPr>
          <w:rFonts w:ascii="TrebuchetMS" w:eastAsia="TrebuchetMS" w:hAnsi="TrebuchetMS" w:cs="TrebuchetMS"/>
          <w:color w:val="000000"/>
          <w:kern w:val="0"/>
          <w:sz w:val="22"/>
          <w:szCs w:val="22"/>
        </w:rPr>
        <w:t>http://www.orizzontescuola.it/news/riforma-della-scuola-anche-abilitandi-strumento-musicale-chiedono-far-parte-del-piano-assunzion</w:t>
      </w: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http://www.orizzontescuola.it/diventareinsegnanti/tfa-docenti-strumento-musicale-a077-impossibilitati-far-valere-abilitazione-scri</w:t>
      </w: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p>
    <w:p w:rsidR="00071DDB" w:rsidRDefault="00B52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 xml:space="preserve"> </w:t>
      </w: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p>
    <w:p w:rsidR="00071DDB" w:rsidRDefault="00071D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jc w:val="both"/>
        <w:rPr>
          <w:rFonts w:ascii="TimesNewRomanPSMT" w:eastAsia="TimesNewRomanPSMT" w:hAnsi="TimesNewRomanPSMT" w:cs="TimesNewRomanPSMT"/>
          <w:color w:val="000000"/>
          <w:kern w:val="0"/>
        </w:rPr>
      </w:pPr>
    </w:p>
    <w:p w:rsidR="00B52377" w:rsidRDefault="00B52377"/>
    <w:sectPr w:rsidR="00B52377" w:rsidSect="00071DDB">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TrebuchetM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0104D"/>
    <w:rsid w:val="00023C37"/>
    <w:rsid w:val="00071DDB"/>
    <w:rsid w:val="003A2C64"/>
    <w:rsid w:val="005B3E5B"/>
    <w:rsid w:val="00B52377"/>
    <w:rsid w:val="00C24D26"/>
    <w:rsid w:val="00C94559"/>
    <w:rsid w:val="00D0104D"/>
    <w:rsid w:val="00E32AF9"/>
    <w:rsid w:val="00ED35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DDB"/>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deltesto"/>
    <w:rsid w:val="00071DDB"/>
    <w:pPr>
      <w:keepNext/>
      <w:spacing w:before="240" w:after="120"/>
    </w:pPr>
    <w:rPr>
      <w:rFonts w:ascii="Arial" w:hAnsi="Arial"/>
      <w:sz w:val="28"/>
      <w:szCs w:val="28"/>
    </w:rPr>
  </w:style>
  <w:style w:type="paragraph" w:styleId="Corpodeltesto">
    <w:name w:val="Body Text"/>
    <w:basedOn w:val="Normale"/>
    <w:rsid w:val="00071DDB"/>
    <w:pPr>
      <w:spacing w:after="120"/>
    </w:pPr>
  </w:style>
  <w:style w:type="paragraph" w:styleId="Elenco">
    <w:name w:val="List"/>
    <w:basedOn w:val="Corpodeltesto"/>
    <w:rsid w:val="00071DDB"/>
  </w:style>
  <w:style w:type="paragraph" w:customStyle="1" w:styleId="Caption">
    <w:name w:val="Caption"/>
    <w:basedOn w:val="Normale"/>
    <w:rsid w:val="00071DDB"/>
    <w:pPr>
      <w:suppressLineNumbers/>
      <w:spacing w:before="120" w:after="120"/>
    </w:pPr>
    <w:rPr>
      <w:i/>
      <w:iCs/>
    </w:rPr>
  </w:style>
  <w:style w:type="paragraph" w:customStyle="1" w:styleId="Index">
    <w:name w:val="Index"/>
    <w:basedOn w:val="Normale"/>
    <w:rsid w:val="00071DDB"/>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650</Words>
  <Characters>3706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 Caterina</dc:creator>
  <cp:lastModifiedBy>GM</cp:lastModifiedBy>
  <cp:revision>4</cp:revision>
  <cp:lastPrinted>1601-01-01T00:00:00Z</cp:lastPrinted>
  <dcterms:created xsi:type="dcterms:W3CDTF">2016-06-30T20:29:00Z</dcterms:created>
  <dcterms:modified xsi:type="dcterms:W3CDTF">2016-06-30T20:57:00Z</dcterms:modified>
</cp:coreProperties>
</file>